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3B31E6BF" w:rsidR="00991B9D" w:rsidRPr="006E473F" w:rsidRDefault="00E11093" w:rsidP="00991B9D">
      <w:pPr>
        <w:pStyle w:val="CRCoverPage"/>
        <w:tabs>
          <w:tab w:val="right" w:pos="9639"/>
        </w:tabs>
        <w:spacing w:after="0"/>
        <w:rPr>
          <w:b/>
          <w:i/>
          <w:noProof/>
          <w:sz w:val="24"/>
          <w:szCs w:val="24"/>
          <w:lang w:eastAsia="ko-KR"/>
        </w:rPr>
      </w:pPr>
      <w:r w:rsidRPr="00E11093">
        <w:rPr>
          <w:b/>
          <w:sz w:val="24"/>
          <w:szCs w:val="24"/>
        </w:rPr>
        <w:t>3GPP TSG RAN WG1 Meeting#88</w:t>
      </w:r>
      <w:r w:rsidR="00991B9D" w:rsidRPr="006E473F">
        <w:rPr>
          <w:rFonts w:hint="eastAsia"/>
          <w:b/>
          <w:sz w:val="24"/>
          <w:szCs w:val="24"/>
          <w:lang w:eastAsia="ko-KR"/>
        </w:rPr>
        <w:tab/>
      </w:r>
      <w:r w:rsidR="00991B9D" w:rsidRPr="006E473F">
        <w:rPr>
          <w:rFonts w:hint="eastAsia"/>
          <w:b/>
          <w:i/>
          <w:sz w:val="24"/>
          <w:szCs w:val="24"/>
          <w:lang w:eastAsia="ko-KR"/>
        </w:rPr>
        <w:t>R1-</w:t>
      </w:r>
      <w:r w:rsidR="000C1DF9" w:rsidRPr="006E473F">
        <w:rPr>
          <w:rFonts w:hint="eastAsia"/>
          <w:b/>
          <w:i/>
          <w:noProof/>
          <w:sz w:val="24"/>
          <w:szCs w:val="24"/>
          <w:lang w:eastAsia="ko-KR"/>
        </w:rPr>
        <w:t>1</w:t>
      </w:r>
      <w:r w:rsidR="000C1DF9">
        <w:rPr>
          <w:b/>
          <w:i/>
          <w:noProof/>
          <w:sz w:val="24"/>
          <w:szCs w:val="24"/>
          <w:lang w:eastAsia="ko-KR"/>
        </w:rPr>
        <w:t>702962</w:t>
      </w:r>
    </w:p>
    <w:p w14:paraId="11C89D06" w14:textId="168C019C" w:rsidR="00991B9D" w:rsidRPr="006E473F" w:rsidRDefault="00346C08" w:rsidP="00991B9D">
      <w:pPr>
        <w:pStyle w:val="CRCoverPage"/>
        <w:spacing w:after="240"/>
        <w:outlineLvl w:val="0"/>
        <w:rPr>
          <w:b/>
          <w:noProof/>
          <w:sz w:val="24"/>
          <w:szCs w:val="24"/>
        </w:rPr>
      </w:pPr>
      <w:r w:rsidRPr="00346C08">
        <w:rPr>
          <w:b/>
          <w:noProof/>
          <w:sz w:val="24"/>
          <w:szCs w:val="24"/>
          <w:lang w:eastAsia="ko-KR"/>
        </w:rPr>
        <w:t>Athens, Greece, 13th – 17th Feb</w:t>
      </w:r>
      <w:r w:rsidR="00C07BF7">
        <w:rPr>
          <w:b/>
          <w:noProof/>
          <w:sz w:val="24"/>
          <w:szCs w:val="24"/>
          <w:lang w:eastAsia="ko-KR"/>
        </w:rPr>
        <w:t>r</w:t>
      </w:r>
      <w:r w:rsidRPr="00346C08">
        <w:rPr>
          <w:b/>
          <w:noProof/>
          <w:sz w:val="24"/>
          <w:szCs w:val="24"/>
          <w:lang w:eastAsia="ko-KR"/>
        </w:rPr>
        <w:t>uary 2017</w:t>
      </w:r>
    </w:p>
    <w:p w14:paraId="75CD537F" w14:textId="7142F2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774F5" w:rsidRPr="00D774F5">
        <w:rPr>
          <w:rFonts w:ascii="Arial" w:hAnsi="Arial"/>
          <w:sz w:val="24"/>
          <w:lang w:eastAsia="ko-KR"/>
        </w:rPr>
        <w:t>8.1.2.4.5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DE413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E00F9" w:rsidRPr="004E00F9">
        <w:rPr>
          <w:rFonts w:ascii="Arial" w:hAnsi="Arial"/>
          <w:sz w:val="24"/>
        </w:rPr>
        <w:t>On UL 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1A3161A5" w:rsidR="002D5500" w:rsidRDefault="00F32552" w:rsidP="002D5500">
      <w:pPr>
        <w:pStyle w:val="maintext"/>
        <w:ind w:firstLine="400"/>
      </w:pPr>
      <w:r>
        <w:t>In the previous meetings</w:t>
      </w:r>
      <w:r w:rsidR="00A83C1F">
        <w:t>,</w:t>
      </w:r>
      <w:r>
        <w:t xml:space="preserve"> </w:t>
      </w:r>
      <w:r w:rsidR="00183E11">
        <w:t>downlink QCL</w:t>
      </w:r>
      <w:r w:rsidR="00136B48">
        <w:t xml:space="preserve"> issues</w:t>
      </w:r>
      <w:r w:rsidR="00183E11">
        <w:t xml:space="preserve"> in NR was discussed a lot</w:t>
      </w:r>
      <w:r w:rsidR="008824D0">
        <w:t xml:space="preserve"> </w:t>
      </w:r>
      <w:r w:rsidR="006505E3">
        <w:t>[1]</w:t>
      </w:r>
      <w:r>
        <w:t xml:space="preserve">. </w:t>
      </w:r>
      <w:r w:rsidR="002D5500" w:rsidRPr="000A1A0B">
        <w:t>In this contribution, we</w:t>
      </w:r>
      <w:r w:rsidR="002D5500">
        <w:t xml:space="preserve"> discuss QCL related </w:t>
      </w:r>
      <w:r w:rsidR="00DC7A98">
        <w:t>procedure</w:t>
      </w:r>
      <w:r w:rsidR="002D5500">
        <w:t xml:space="preserve"> for uplink.</w:t>
      </w:r>
    </w:p>
    <w:p w14:paraId="1DEFCB18" w14:textId="28FE91DB" w:rsidR="00895496" w:rsidRDefault="00874CA0" w:rsidP="00576395">
      <w:pPr>
        <w:pStyle w:val="Heading1"/>
        <w:tabs>
          <w:tab w:val="num" w:pos="0"/>
        </w:tabs>
        <w:ind w:left="799" w:hanging="799"/>
      </w:pPr>
      <w:r>
        <w:t>U</w:t>
      </w:r>
      <w:r w:rsidR="00895496" w:rsidRPr="00576395">
        <w:t xml:space="preserve">plink QCL </w:t>
      </w:r>
      <w:r w:rsidR="00DC7A98">
        <w:t>procedure</w:t>
      </w:r>
    </w:p>
    <w:p w14:paraId="352EC354" w14:textId="3555E179" w:rsidR="008032BA" w:rsidRDefault="002F4EC2" w:rsidP="00FD5330">
      <w:pPr>
        <w:pStyle w:val="maintext"/>
        <w:ind w:firstLine="400"/>
      </w:pPr>
      <w:r w:rsidRPr="002F4EC2">
        <w:t xml:space="preserve">Beam management </w:t>
      </w:r>
      <w:r w:rsidR="00BD3698">
        <w:t>is</w:t>
      </w:r>
      <w:r w:rsidR="00BD3698" w:rsidRPr="002F4EC2">
        <w:t xml:space="preserve"> </w:t>
      </w:r>
      <w:r w:rsidRPr="002F4EC2">
        <w:t xml:space="preserve">introduced </w:t>
      </w:r>
      <w:r w:rsidR="00BD3698">
        <w:t>for</w:t>
      </w:r>
      <w:r w:rsidRPr="002F4EC2">
        <w:t xml:space="preserve"> NR to make the system operate more efficiently for system band up to 100GHz. For multi-panel UEs, multi-beams can be formed from different panels separately or jointly to further improve the system reliability or capacity. </w:t>
      </w:r>
    </w:p>
    <w:p w14:paraId="2525CC17" w14:textId="6B599020" w:rsidR="009E4D7B" w:rsidRDefault="00186D71" w:rsidP="00DC7A98">
      <w:pPr>
        <w:pStyle w:val="maintext"/>
        <w:ind w:firstLine="400"/>
      </w:pPr>
      <w:r w:rsidRPr="00EC75F3">
        <w:t>Mu</w:t>
      </w:r>
      <w:r w:rsidR="00E15F18">
        <w:t>lti-panels at UE may not be QCL</w:t>
      </w:r>
      <w:r w:rsidR="00BD3698">
        <w:t>-</w:t>
      </w:r>
      <w:r w:rsidRPr="00EC75F3">
        <w:t xml:space="preserve">ed in some large scale parameters (e.g., spatial parameters, delay, gain) because their orientations are different depending upon the UE panel configuration. </w:t>
      </w:r>
      <w:r w:rsidR="00534EFF">
        <w:t xml:space="preserve">In some cases, even ports in the same panel cannot </w:t>
      </w:r>
      <w:r w:rsidR="002A3C2A">
        <w:t xml:space="preserve">be </w:t>
      </w:r>
      <w:r w:rsidR="00534EFF">
        <w:t>assumed</w:t>
      </w:r>
      <w:r w:rsidR="002A3C2A">
        <w:t xml:space="preserve"> that</w:t>
      </w:r>
      <w:r w:rsidR="00534EFF">
        <w:t xml:space="preserve"> they are QCL</w:t>
      </w:r>
      <w:r w:rsidR="00BD3698">
        <w:t>-</w:t>
      </w:r>
      <w:r w:rsidR="00534EFF">
        <w:t xml:space="preserve">ed. </w:t>
      </w:r>
      <w:r w:rsidRPr="00EC75F3">
        <w:t>This implies that TRP need</w:t>
      </w:r>
      <w:r w:rsidR="009E4D7B">
        <w:t>s</w:t>
      </w:r>
      <w:r w:rsidRPr="00EC75F3">
        <w:t xml:space="preserve"> to know the QCL information of UL antenna ports for channel estimation and TRP Rx beamforming</w:t>
      </w:r>
      <w:r w:rsidR="001B2B04">
        <w:t xml:space="preserve"> or transmission</w:t>
      </w:r>
      <w:r w:rsidRPr="00EC75F3">
        <w:t xml:space="preserve">. </w:t>
      </w:r>
      <w:r w:rsidR="009E4D7B">
        <w:t>However, t</w:t>
      </w:r>
      <w:r w:rsidR="002F4EC2" w:rsidRPr="002F4EC2">
        <w:t xml:space="preserve">he TRP does not necessarily need to know </w:t>
      </w:r>
      <w:r w:rsidR="009E4D7B">
        <w:t>the actual antenna architecture of the UE</w:t>
      </w:r>
      <w:r w:rsidR="002F4EC2" w:rsidRPr="002F4EC2">
        <w:t xml:space="preserve">. </w:t>
      </w:r>
    </w:p>
    <w:p w14:paraId="2A732BFD" w14:textId="65FB0F89" w:rsidR="009E4D7B" w:rsidRPr="00BC7B31" w:rsidRDefault="009E4D7B" w:rsidP="00DC7A98">
      <w:pPr>
        <w:pStyle w:val="maintext"/>
        <w:ind w:firstLine="400"/>
        <w:rPr>
          <w:b/>
        </w:rPr>
      </w:pPr>
      <w:r w:rsidRPr="00753A59">
        <w:rPr>
          <w:b/>
        </w:rPr>
        <w:t>Observation 1: TRP needs to know the QCL information of UL antenna ports for channel estimation and TRP Rx beamforming or</w:t>
      </w:r>
      <w:r w:rsidR="00C41B3D">
        <w:rPr>
          <w:b/>
        </w:rPr>
        <w:t xml:space="preserve"> UL</w:t>
      </w:r>
      <w:r w:rsidRPr="00BC7B31">
        <w:rPr>
          <w:b/>
        </w:rPr>
        <w:t xml:space="preserve"> </w:t>
      </w:r>
      <w:r w:rsidR="00B41233">
        <w:rPr>
          <w:b/>
        </w:rPr>
        <w:t>Tx beamforming</w:t>
      </w:r>
      <w:r w:rsidRPr="00BC7B31">
        <w:rPr>
          <w:b/>
        </w:rPr>
        <w:t>.</w:t>
      </w:r>
    </w:p>
    <w:p w14:paraId="1D8C0623" w14:textId="442EC7EE" w:rsidR="009E4D7B" w:rsidRDefault="009E4D7B" w:rsidP="00DC7A98">
      <w:pPr>
        <w:pStyle w:val="maintext"/>
        <w:ind w:firstLine="400"/>
      </w:pPr>
      <w:r>
        <w:t xml:space="preserve">There are two alternatives for the TRP to obtain the </w:t>
      </w:r>
      <w:r w:rsidR="007D539D">
        <w:t xml:space="preserve">UL </w:t>
      </w:r>
      <w:r>
        <w:t>QCL</w:t>
      </w:r>
      <w:r w:rsidR="007D539D">
        <w:t xml:space="preserve"> information from a UE:</w:t>
      </w:r>
    </w:p>
    <w:p w14:paraId="34EB5BD5" w14:textId="477763B3" w:rsidR="007D539D" w:rsidRDefault="007D539D" w:rsidP="00DC7A98">
      <w:pPr>
        <w:pStyle w:val="maintext"/>
        <w:ind w:firstLine="400"/>
      </w:pPr>
      <w:r>
        <w:t>Alt 1: UL QCL information is reported by the UE to the TRP</w:t>
      </w:r>
    </w:p>
    <w:p w14:paraId="1FCA58C4" w14:textId="221AFD24" w:rsidR="007D539D" w:rsidRDefault="007D539D" w:rsidP="00DC7A98">
      <w:pPr>
        <w:pStyle w:val="maintext"/>
        <w:ind w:firstLine="400"/>
      </w:pPr>
      <w:r>
        <w:t>Alt 2: UL QCL information is derived by the TRP v</w:t>
      </w:r>
      <w:r w:rsidR="002F4EC2" w:rsidRPr="002F4EC2">
        <w:t>ia uplink beam measurement</w:t>
      </w:r>
    </w:p>
    <w:p w14:paraId="613B2129" w14:textId="085685C7" w:rsidR="002F4EC2" w:rsidRDefault="00A14CEF" w:rsidP="00955CDE">
      <w:pPr>
        <w:pStyle w:val="maintext"/>
        <w:ind w:firstLine="400"/>
      </w:pPr>
      <w:r>
        <w:t xml:space="preserve">For </w:t>
      </w:r>
      <w:r w:rsidR="00D27526">
        <w:t xml:space="preserve">Alt1, </w:t>
      </w:r>
      <w:r w:rsidR="009A089D">
        <w:t xml:space="preserve">the UE doesn’t know </w:t>
      </w:r>
      <w:r w:rsidR="00E50F62">
        <w:t xml:space="preserve">the UL Rx beam information, hence </w:t>
      </w:r>
      <w:r>
        <w:t xml:space="preserve">not accurate QCL information </w:t>
      </w:r>
      <w:r w:rsidR="00750580">
        <w:t xml:space="preserve">is </w:t>
      </w:r>
      <w:r>
        <w:t>reported to the TRP</w:t>
      </w:r>
      <w:r w:rsidR="00A25825">
        <w:t xml:space="preserve">, but it can </w:t>
      </w:r>
      <w:r w:rsidR="006B7C14">
        <w:t xml:space="preserve">help </w:t>
      </w:r>
      <w:r w:rsidR="00A25825">
        <w:t>save some uplink beam measurement procedure</w:t>
      </w:r>
      <w:r>
        <w:t>. For</w:t>
      </w:r>
      <w:r w:rsidR="00B053D1">
        <w:t xml:space="preserve"> Alt2, uplink beam measurement procedure needs to be introduced.</w:t>
      </w:r>
      <w:r w:rsidR="002F4EC2" w:rsidRPr="002F4EC2">
        <w:t xml:space="preserve"> </w:t>
      </w:r>
    </w:p>
    <w:p w14:paraId="2FC0C654" w14:textId="78E40BEE" w:rsidR="00E23B1E" w:rsidRDefault="00034D76" w:rsidP="00EC75F3">
      <w:pPr>
        <w:pStyle w:val="maintext"/>
        <w:ind w:firstLine="400"/>
      </w:pPr>
      <w:r>
        <w:t xml:space="preserve">An example </w:t>
      </w:r>
      <w:r w:rsidR="00072876">
        <w:t xml:space="preserve">of </w:t>
      </w:r>
      <w:r w:rsidR="00FE5BE6">
        <w:t xml:space="preserve">uplink QCL </w:t>
      </w:r>
      <w:r>
        <w:t>procedure</w:t>
      </w:r>
      <w:r w:rsidR="003E4928">
        <w:t xml:space="preserve"> for intra-TRP</w:t>
      </w:r>
      <w:r w:rsidR="00FE5BE6">
        <w:t xml:space="preserve"> </w:t>
      </w:r>
      <w:r w:rsidR="00133889">
        <w:t xml:space="preserve">case </w:t>
      </w:r>
      <w:r w:rsidR="00FE5BE6">
        <w:t>is as follows:</w:t>
      </w:r>
    </w:p>
    <w:p w14:paraId="6A6E2A0D" w14:textId="6F1F2763" w:rsidR="00F442EF" w:rsidRDefault="00955EA1" w:rsidP="00FE5BE6">
      <w:pPr>
        <w:pStyle w:val="maintext"/>
        <w:numPr>
          <w:ilvl w:val="0"/>
          <w:numId w:val="36"/>
        </w:numPr>
        <w:ind w:firstLineChars="0"/>
      </w:pPr>
      <w:r>
        <w:t>If no uplink beam port QCL information is available at the TRP, t</w:t>
      </w:r>
      <w:r w:rsidR="00FE5BE6">
        <w:t xml:space="preserve">he </w:t>
      </w:r>
      <w:r w:rsidR="00BE2483">
        <w:t xml:space="preserve">TRP configures the uplink beam </w:t>
      </w:r>
      <w:r w:rsidR="00A538EE">
        <w:t xml:space="preserve">transmission </w:t>
      </w:r>
      <w:r w:rsidR="00BE2483">
        <w:t>ports (e.g., SRS ports)</w:t>
      </w:r>
      <w:r w:rsidR="00EF4D1A">
        <w:t xml:space="preserve"> Th</w:t>
      </w:r>
      <w:r w:rsidR="00BE2483">
        <w:t>e</w:t>
      </w:r>
      <w:r w:rsidR="00EF4D1A">
        <w:t>n the</w:t>
      </w:r>
      <w:r w:rsidR="00BE2483">
        <w:t xml:space="preserve"> TRP </w:t>
      </w:r>
      <w:r w:rsidR="005B224D">
        <w:t xml:space="preserve">determines </w:t>
      </w:r>
      <w:r w:rsidR="00F442EF">
        <w:t xml:space="preserve">the QCL </w:t>
      </w:r>
      <w:r w:rsidR="005B224D">
        <w:t xml:space="preserve">properties </w:t>
      </w:r>
      <w:r w:rsidR="00C95D73">
        <w:t>among the beam ports</w:t>
      </w:r>
      <w:r w:rsidR="00F442EF">
        <w:t>, e.g., via measurements.</w:t>
      </w:r>
      <w:r w:rsidR="008B5321">
        <w:t xml:space="preserve"> The </w:t>
      </w:r>
      <w:r w:rsidR="005B224D">
        <w:t>UE antenna architecture</w:t>
      </w:r>
      <w:r w:rsidR="008B5321">
        <w:t xml:space="preserve"> is transparent to the TRP.</w:t>
      </w:r>
    </w:p>
    <w:p w14:paraId="6DA7D883" w14:textId="6B8FFAF8" w:rsidR="004E484E" w:rsidRDefault="004E484E" w:rsidP="007031CA">
      <w:pPr>
        <w:pStyle w:val="maintext"/>
        <w:numPr>
          <w:ilvl w:val="0"/>
          <w:numId w:val="36"/>
        </w:numPr>
        <w:ind w:firstLineChars="0"/>
      </w:pPr>
      <w:r>
        <w:t xml:space="preserve">Based on the obtained QCL information, the TRP </w:t>
      </w:r>
      <w:r w:rsidR="00034D76">
        <w:t xml:space="preserve">schedules </w:t>
      </w:r>
      <w:r>
        <w:t xml:space="preserve">the corresponding </w:t>
      </w:r>
      <w:r w:rsidR="006C1148">
        <w:t xml:space="preserve">uplink </w:t>
      </w:r>
      <w:r>
        <w:t xml:space="preserve">transmissions. </w:t>
      </w:r>
      <w:r w:rsidR="006B69B6">
        <w:t xml:space="preserve">For illustration purpose only, we </w:t>
      </w:r>
      <w:r w:rsidR="00E80EC4">
        <w:t xml:space="preserve">consider multi-panel UE and </w:t>
      </w:r>
      <w:r w:rsidR="006B69B6">
        <w:t xml:space="preserve">assume there are only two panels at the UE side and each uplink port is mapped to each panel. </w:t>
      </w:r>
      <w:r w:rsidR="007031CA">
        <w:t>If these two ports is QCL</w:t>
      </w:r>
      <w:r w:rsidR="005B224D">
        <w:t>-</w:t>
      </w:r>
      <w:r w:rsidR="007031CA">
        <w:t>ed, the TRP may always schedule two ports coherently. However, if the TRP measures and determines these two ports are not QCL</w:t>
      </w:r>
      <w:r w:rsidR="005B224D">
        <w:t>-</w:t>
      </w:r>
      <w:r w:rsidR="007031CA">
        <w:t xml:space="preserve">ed, the TRP can thus schedule non-coherent transmission </w:t>
      </w:r>
      <w:r w:rsidR="00A4264F">
        <w:t xml:space="preserve">for </w:t>
      </w:r>
      <w:r w:rsidR="007031CA">
        <w:t>the UE.</w:t>
      </w:r>
    </w:p>
    <w:p w14:paraId="429CA062" w14:textId="1767D16C" w:rsidR="00FE5BE6" w:rsidRDefault="00226DBE" w:rsidP="00FE5BE6">
      <w:pPr>
        <w:pStyle w:val="maintext"/>
        <w:numPr>
          <w:ilvl w:val="0"/>
          <w:numId w:val="36"/>
        </w:numPr>
        <w:ind w:firstLineChars="0"/>
      </w:pPr>
      <w:r>
        <w:t>After</w:t>
      </w:r>
      <w:r w:rsidR="00C95D73">
        <w:t xml:space="preserve"> the TRP schedules transmission</w:t>
      </w:r>
      <w:r w:rsidR="0093456D">
        <w:t>s</w:t>
      </w:r>
      <w:r w:rsidR="00C95D73">
        <w:t xml:space="preserve"> for the UE, the TRP makes use of these QCL information to </w:t>
      </w:r>
      <w:r w:rsidR="00F31997">
        <w:t>receive</w:t>
      </w:r>
      <w:r w:rsidR="00C95D73">
        <w:t xml:space="preserve"> </w:t>
      </w:r>
      <w:r w:rsidR="00AC763B">
        <w:t>the data</w:t>
      </w:r>
      <w:r w:rsidR="00C95D73">
        <w:t xml:space="preserve"> </w:t>
      </w:r>
      <w:r w:rsidR="004F2B1B">
        <w:t xml:space="preserve">(e.g., use the same Rx beams for the </w:t>
      </w:r>
      <w:r w:rsidR="00FC725B">
        <w:t>QCL</w:t>
      </w:r>
      <w:r w:rsidR="005B224D">
        <w:t>-</w:t>
      </w:r>
      <w:r w:rsidR="00FC725B">
        <w:t xml:space="preserve">ed ports) </w:t>
      </w:r>
      <w:r w:rsidR="00C95D73">
        <w:t xml:space="preserve">and demodulate the respective data </w:t>
      </w:r>
      <w:r w:rsidR="00FC725B">
        <w:t>(e.g., assume the same channel estimation for the QCL</w:t>
      </w:r>
      <w:r w:rsidR="005B224D">
        <w:t>-</w:t>
      </w:r>
      <w:r w:rsidR="00FC725B">
        <w:t>ed ports)</w:t>
      </w:r>
      <w:r w:rsidR="00C95D73">
        <w:t>.</w:t>
      </w:r>
    </w:p>
    <w:p w14:paraId="5185971A" w14:textId="7323F9A8" w:rsidR="00344CFE" w:rsidRDefault="00344CFE" w:rsidP="00344CFE">
      <w:pPr>
        <w:pStyle w:val="maintext"/>
        <w:ind w:left="400" w:firstLineChars="0" w:firstLine="0"/>
      </w:pPr>
      <w:r>
        <w:t>Note: for transmission and reception, the TRP may use different groups of QCL parameters</w:t>
      </w:r>
      <w:r w:rsidR="002362FA">
        <w:t xml:space="preserve"> respectively</w:t>
      </w:r>
      <w:r>
        <w:t>.</w:t>
      </w:r>
    </w:p>
    <w:p w14:paraId="00243B9D" w14:textId="69A22302" w:rsidR="00CA39B9" w:rsidRDefault="00B66116" w:rsidP="009C43DD">
      <w:pPr>
        <w:pStyle w:val="maintext"/>
        <w:ind w:firstLine="400"/>
      </w:pPr>
      <w:r>
        <w:t xml:space="preserve">Through this procedure, the TRP doesn’t need to be aware of how many panels there are and how they are structured at the UE side. This will simplify the </w:t>
      </w:r>
      <w:r w:rsidR="00950724">
        <w:t xml:space="preserve">UL </w:t>
      </w:r>
      <w:r>
        <w:t xml:space="preserve">MIMO operations. Figures </w:t>
      </w:r>
      <w:r w:rsidR="003A6287">
        <w:t>1</w:t>
      </w:r>
      <w:r>
        <w:t xml:space="preserve"> and </w:t>
      </w:r>
      <w:r w:rsidR="003A6287">
        <w:t>2</w:t>
      </w:r>
      <w:r>
        <w:t xml:space="preserve"> show respectively the cases for Non-QCL</w:t>
      </w:r>
      <w:r w:rsidR="00406B1D">
        <w:t>-</w:t>
      </w:r>
      <w:r>
        <w:t>ed and QCL</w:t>
      </w:r>
      <w:r w:rsidR="00406B1D">
        <w:t>-</w:t>
      </w:r>
      <w:r>
        <w:t>ed uplink transmission ports.</w:t>
      </w:r>
    </w:p>
    <w:p w14:paraId="3706C503" w14:textId="32F16F87" w:rsidR="00133889" w:rsidRPr="00EC75F3" w:rsidRDefault="00133889" w:rsidP="009C43DD">
      <w:pPr>
        <w:pStyle w:val="maintext"/>
        <w:ind w:firstLine="400"/>
      </w:pPr>
      <w:r>
        <w:lastRenderedPageBreak/>
        <w:t xml:space="preserve">For inter-TRP case, </w:t>
      </w:r>
      <w:r w:rsidR="00315698">
        <w:t xml:space="preserve">we assume multi-panel UE, </w:t>
      </w:r>
      <w:r w:rsidR="00D34D95">
        <w:t xml:space="preserve">the </w:t>
      </w:r>
      <w:r w:rsidR="00834312">
        <w:t>pr</w:t>
      </w:r>
      <w:r w:rsidR="00EE2BDA">
        <w:t>o</w:t>
      </w:r>
      <w:r w:rsidR="00834312">
        <w:t xml:space="preserve">cedure </w:t>
      </w:r>
      <w:r>
        <w:t xml:space="preserve">is similar. Each TRP determine </w:t>
      </w:r>
      <w:r w:rsidR="008E6405">
        <w:t>its</w:t>
      </w:r>
      <w:r>
        <w:t xml:space="preserve"> </w:t>
      </w:r>
      <w:r w:rsidR="005C3255">
        <w:t xml:space="preserve">separate QCL information for different multi-panel ports. </w:t>
      </w:r>
      <w:r w:rsidR="00443EBF">
        <w:t xml:space="preserve">Depending upon different </w:t>
      </w:r>
      <w:r w:rsidR="00EC3C82">
        <w:t>inter-TRP cooperation mode, either coherent or non-coherent transmission mode can be used,</w:t>
      </w:r>
      <w:r w:rsidR="00D4546B">
        <w:t xml:space="preserve"> and different reception scheme, e.g., either coherent reception or non-coherent reception </w:t>
      </w:r>
      <w:r w:rsidR="00EC3C82">
        <w:t>can be used.</w:t>
      </w:r>
    </w:p>
    <w:p w14:paraId="4B115FB7" w14:textId="54CB652C" w:rsidR="004A7396" w:rsidRDefault="0088732D" w:rsidP="004A7396">
      <w:pPr>
        <w:jc w:val="center"/>
        <w:rPr>
          <w:lang w:val="en-US" w:eastAsia="ja-JP"/>
        </w:rPr>
      </w:pPr>
      <w:r>
        <w:rPr>
          <w:noProof/>
          <w:lang w:val="en-US" w:eastAsia="zh-CN"/>
        </w:rPr>
        <w:drawing>
          <wp:inline distT="0" distB="0" distL="0" distR="0" wp14:anchorId="54BF4D62" wp14:editId="56FA20DB">
            <wp:extent cx="4319270" cy="1976755"/>
            <wp:effectExtent l="0" t="0" r="508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9270" cy="1976755"/>
                    </a:xfrm>
                    <a:prstGeom prst="rect">
                      <a:avLst/>
                    </a:prstGeom>
                    <a:noFill/>
                    <a:ln>
                      <a:noFill/>
                    </a:ln>
                  </pic:spPr>
                </pic:pic>
              </a:graphicData>
            </a:graphic>
          </wp:inline>
        </w:drawing>
      </w:r>
    </w:p>
    <w:p w14:paraId="7491D06F" w14:textId="55A22EEB" w:rsidR="004A7396" w:rsidRDefault="004A7396" w:rsidP="004A7396">
      <w:pPr>
        <w:jc w:val="center"/>
        <w:rPr>
          <w:lang w:val="en-US" w:eastAsia="ja-JP"/>
        </w:rPr>
      </w:pPr>
      <w:r>
        <w:rPr>
          <w:lang w:val="en-US" w:eastAsia="ja-JP"/>
        </w:rPr>
        <w:t xml:space="preserve">Figure </w:t>
      </w:r>
      <w:r w:rsidR="005F49E4">
        <w:rPr>
          <w:lang w:val="en-US" w:eastAsia="ja-JP"/>
        </w:rPr>
        <w:t>1</w:t>
      </w:r>
      <w:r>
        <w:rPr>
          <w:lang w:val="en-US" w:eastAsia="ja-JP"/>
        </w:rPr>
        <w:t xml:space="preserve">. </w:t>
      </w:r>
      <w:r w:rsidR="006D1586">
        <w:rPr>
          <w:lang w:val="en-US" w:eastAsia="ja-JP"/>
        </w:rPr>
        <w:t>Non-QCL</w:t>
      </w:r>
      <w:r w:rsidR="00950724">
        <w:rPr>
          <w:lang w:val="en-US" w:eastAsia="ja-JP"/>
        </w:rPr>
        <w:t>-</w:t>
      </w:r>
      <w:r w:rsidR="006D1586">
        <w:rPr>
          <w:lang w:val="en-US" w:eastAsia="ja-JP"/>
        </w:rPr>
        <w:t xml:space="preserve">ed </w:t>
      </w:r>
      <w:r w:rsidR="001B437C">
        <w:rPr>
          <w:lang w:val="en-US" w:eastAsia="ja-JP"/>
        </w:rPr>
        <w:t xml:space="preserve">Uplink Transmission </w:t>
      </w:r>
      <w:r w:rsidR="006D1586">
        <w:rPr>
          <w:lang w:val="en-US" w:eastAsia="ja-JP"/>
        </w:rPr>
        <w:t>Ports</w:t>
      </w:r>
    </w:p>
    <w:p w14:paraId="46DA01C0" w14:textId="200B8947" w:rsidR="00A9428F" w:rsidRDefault="0091353B" w:rsidP="00A9428F">
      <w:pPr>
        <w:jc w:val="center"/>
        <w:rPr>
          <w:lang w:val="en-US" w:eastAsia="ja-JP"/>
        </w:rPr>
      </w:pPr>
      <w:r>
        <w:rPr>
          <w:noProof/>
          <w:lang w:val="en-US" w:eastAsia="zh-CN"/>
        </w:rPr>
        <w:drawing>
          <wp:inline distT="0" distB="0" distL="0" distR="0" wp14:anchorId="38CCBA6A" wp14:editId="2DDD5B7D">
            <wp:extent cx="4248785"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785" cy="1913890"/>
                    </a:xfrm>
                    <a:prstGeom prst="rect">
                      <a:avLst/>
                    </a:prstGeom>
                    <a:noFill/>
                    <a:ln>
                      <a:noFill/>
                    </a:ln>
                  </pic:spPr>
                </pic:pic>
              </a:graphicData>
            </a:graphic>
          </wp:inline>
        </w:drawing>
      </w:r>
    </w:p>
    <w:p w14:paraId="348207C1" w14:textId="5B228055" w:rsidR="00A9428F" w:rsidRDefault="00A9428F" w:rsidP="00A9428F">
      <w:pPr>
        <w:jc w:val="center"/>
        <w:rPr>
          <w:lang w:val="en-US" w:eastAsia="ja-JP"/>
        </w:rPr>
      </w:pPr>
      <w:r>
        <w:rPr>
          <w:lang w:val="en-US" w:eastAsia="ja-JP"/>
        </w:rPr>
        <w:t xml:space="preserve">Figure </w:t>
      </w:r>
      <w:r w:rsidR="005F49E4">
        <w:rPr>
          <w:lang w:val="en-US" w:eastAsia="ja-JP"/>
        </w:rPr>
        <w:t>2</w:t>
      </w:r>
      <w:r>
        <w:rPr>
          <w:lang w:val="en-US" w:eastAsia="ja-JP"/>
        </w:rPr>
        <w:t>. QCL</w:t>
      </w:r>
      <w:r w:rsidR="00950724">
        <w:rPr>
          <w:lang w:val="en-US" w:eastAsia="ja-JP"/>
        </w:rPr>
        <w:t>-</w:t>
      </w:r>
      <w:r>
        <w:rPr>
          <w:lang w:val="en-US" w:eastAsia="ja-JP"/>
        </w:rPr>
        <w:t xml:space="preserve">ed </w:t>
      </w:r>
      <w:r w:rsidR="00950724">
        <w:rPr>
          <w:lang w:val="en-US" w:eastAsia="ja-JP"/>
        </w:rPr>
        <w:t xml:space="preserve">Uplink </w:t>
      </w:r>
      <w:r>
        <w:rPr>
          <w:lang w:val="en-US" w:eastAsia="ja-JP"/>
        </w:rPr>
        <w:t>Transmission Ports</w:t>
      </w:r>
    </w:p>
    <w:p w14:paraId="35122447" w14:textId="6593A67F" w:rsidR="00392870" w:rsidRDefault="002C7CA1" w:rsidP="00392870">
      <w:pPr>
        <w:rPr>
          <w:b/>
          <w:lang w:eastAsia="zh-CN"/>
        </w:rPr>
      </w:pPr>
      <w:r>
        <w:rPr>
          <w:b/>
          <w:lang w:eastAsia="zh-CN"/>
        </w:rPr>
        <w:t xml:space="preserve">Observation </w:t>
      </w:r>
      <w:r w:rsidR="00DC7A98">
        <w:rPr>
          <w:b/>
          <w:lang w:eastAsia="zh-CN"/>
        </w:rPr>
        <w:t>2</w:t>
      </w:r>
      <w:r w:rsidR="00392870" w:rsidRPr="005D51A5">
        <w:rPr>
          <w:rFonts w:hint="eastAsia"/>
          <w:b/>
          <w:lang w:eastAsia="zh-CN"/>
        </w:rPr>
        <w:t xml:space="preserve">: </w:t>
      </w:r>
      <w:r w:rsidR="00C129FB">
        <w:rPr>
          <w:b/>
          <w:lang w:eastAsia="zh-CN"/>
        </w:rPr>
        <w:t xml:space="preserve">Uplink </w:t>
      </w:r>
      <w:r w:rsidR="00C90CEE">
        <w:rPr>
          <w:b/>
          <w:lang w:eastAsia="zh-CN"/>
        </w:rPr>
        <w:t>measurement</w:t>
      </w:r>
      <w:r w:rsidR="00C129FB">
        <w:rPr>
          <w:b/>
          <w:lang w:eastAsia="zh-CN"/>
        </w:rPr>
        <w:t xml:space="preserve"> </w:t>
      </w:r>
      <w:r w:rsidR="002A0A5A">
        <w:rPr>
          <w:b/>
          <w:lang w:eastAsia="zh-CN"/>
        </w:rPr>
        <w:t>may be</w:t>
      </w:r>
      <w:r w:rsidR="00C129FB">
        <w:rPr>
          <w:b/>
          <w:lang w:eastAsia="zh-CN"/>
        </w:rPr>
        <w:t xml:space="preserve"> used </w:t>
      </w:r>
      <w:r w:rsidR="00C90CEE">
        <w:rPr>
          <w:b/>
          <w:lang w:eastAsia="zh-CN"/>
        </w:rPr>
        <w:t xml:space="preserve">by </w:t>
      </w:r>
      <w:r w:rsidR="00C129FB">
        <w:rPr>
          <w:b/>
          <w:lang w:eastAsia="zh-CN"/>
        </w:rPr>
        <w:t xml:space="preserve">the TRP to determine the QCL among different </w:t>
      </w:r>
      <w:r w:rsidR="00DC7A98">
        <w:rPr>
          <w:b/>
          <w:lang w:eastAsia="zh-CN"/>
        </w:rPr>
        <w:t>UL</w:t>
      </w:r>
      <w:r w:rsidR="00C129FB">
        <w:rPr>
          <w:b/>
          <w:lang w:eastAsia="zh-CN"/>
        </w:rPr>
        <w:t xml:space="preserve"> </w:t>
      </w:r>
      <w:r w:rsidR="00535FB0">
        <w:rPr>
          <w:b/>
          <w:lang w:eastAsia="zh-CN"/>
        </w:rPr>
        <w:t xml:space="preserve">transmission </w:t>
      </w:r>
      <w:r w:rsidR="00C129FB">
        <w:rPr>
          <w:b/>
          <w:lang w:eastAsia="zh-CN"/>
        </w:rPr>
        <w:t>ports</w:t>
      </w:r>
      <w:r w:rsidR="00392870" w:rsidRPr="005D51A5">
        <w:rPr>
          <w:rFonts w:hint="eastAsia"/>
          <w:b/>
          <w:lang w:eastAsia="zh-CN"/>
        </w:rPr>
        <w:t>.</w:t>
      </w:r>
      <w:r w:rsidR="00FC7AB5">
        <w:rPr>
          <w:b/>
          <w:lang w:eastAsia="zh-CN"/>
        </w:rPr>
        <w:t xml:space="preserve"> Based upon that, the TRP can </w:t>
      </w:r>
      <w:r w:rsidR="00285CC5">
        <w:rPr>
          <w:b/>
          <w:lang w:eastAsia="zh-CN"/>
        </w:rPr>
        <w:t>de</w:t>
      </w:r>
      <w:r w:rsidR="00707AF8">
        <w:rPr>
          <w:b/>
          <w:lang w:eastAsia="zh-CN"/>
        </w:rPr>
        <w:t>termine</w:t>
      </w:r>
      <w:r w:rsidR="00FC7AB5">
        <w:rPr>
          <w:b/>
          <w:lang w:eastAsia="zh-CN"/>
        </w:rPr>
        <w:t xml:space="preserve"> </w:t>
      </w:r>
      <w:r w:rsidR="00280EE3">
        <w:rPr>
          <w:b/>
          <w:lang w:eastAsia="zh-CN"/>
        </w:rPr>
        <w:t xml:space="preserve">the </w:t>
      </w:r>
      <w:r w:rsidR="00280EE3" w:rsidRPr="004B4845">
        <w:rPr>
          <w:b/>
          <w:lang w:eastAsia="zh-CN"/>
        </w:rPr>
        <w:t xml:space="preserve">channel estimation and TRP Rx beamforming for UL antenna ports and </w:t>
      </w:r>
      <w:r w:rsidR="00247811">
        <w:rPr>
          <w:b/>
          <w:lang w:eastAsia="zh-CN"/>
        </w:rPr>
        <w:t>UL Tx beamforming</w:t>
      </w:r>
      <w:r w:rsidR="00FC7AB5">
        <w:rPr>
          <w:b/>
          <w:lang w:eastAsia="zh-CN"/>
        </w:rPr>
        <w:t xml:space="preserve"> used </w:t>
      </w:r>
      <w:r w:rsidR="00D8473A">
        <w:rPr>
          <w:b/>
          <w:lang w:eastAsia="zh-CN"/>
        </w:rPr>
        <w:t>for</w:t>
      </w:r>
      <w:r w:rsidR="00FC7AB5">
        <w:rPr>
          <w:b/>
          <w:lang w:eastAsia="zh-CN"/>
        </w:rPr>
        <w:t xml:space="preserve"> the UE.</w:t>
      </w:r>
    </w:p>
    <w:p w14:paraId="4E7A320D" w14:textId="556AA5EF" w:rsidR="005278CD" w:rsidRPr="00BC7B31" w:rsidRDefault="005278CD" w:rsidP="00BB4189">
      <w:pPr>
        <w:pStyle w:val="maintext"/>
        <w:ind w:firstLineChars="0" w:firstLine="0"/>
        <w:rPr>
          <w:b/>
        </w:rPr>
      </w:pPr>
      <w:r>
        <w:rPr>
          <w:b/>
        </w:rPr>
        <w:t xml:space="preserve">Proposal </w:t>
      </w:r>
      <w:r w:rsidRPr="00753A59">
        <w:rPr>
          <w:b/>
        </w:rPr>
        <w:t xml:space="preserve">1: </w:t>
      </w:r>
      <w:r w:rsidR="00F45BC7">
        <w:rPr>
          <w:b/>
        </w:rPr>
        <w:t xml:space="preserve">It is FFS </w:t>
      </w:r>
      <w:r w:rsidR="00581A86">
        <w:rPr>
          <w:b/>
        </w:rPr>
        <w:t>whether</w:t>
      </w:r>
      <w:r w:rsidR="00137F61">
        <w:rPr>
          <w:b/>
        </w:rPr>
        <w:t xml:space="preserve"> </w:t>
      </w:r>
      <w:r w:rsidR="00F45BC7">
        <w:rPr>
          <w:b/>
        </w:rPr>
        <w:t xml:space="preserve">Alt1 </w:t>
      </w:r>
      <w:r w:rsidR="009D3268">
        <w:rPr>
          <w:b/>
        </w:rPr>
        <w:t>or</w:t>
      </w:r>
      <w:r w:rsidR="00F45BC7">
        <w:rPr>
          <w:b/>
        </w:rPr>
        <w:t xml:space="preserve"> Alt2</w:t>
      </w:r>
      <w:r w:rsidR="00581A86">
        <w:rPr>
          <w:b/>
        </w:rPr>
        <w:t xml:space="preserve"> should be used</w:t>
      </w:r>
      <w:r w:rsidR="009D3268">
        <w:rPr>
          <w:b/>
        </w:rPr>
        <w:t xml:space="preserve"> in the uplink</w:t>
      </w:r>
      <w:r w:rsidR="00CC47DE">
        <w:rPr>
          <w:b/>
        </w:rPr>
        <w:t xml:space="preserve"> QCL proce</w:t>
      </w:r>
      <w:r w:rsidR="00C6133B">
        <w:rPr>
          <w:b/>
        </w:rPr>
        <w:t>dure</w:t>
      </w:r>
      <w:r w:rsidRPr="00BC7B31">
        <w:rPr>
          <w:b/>
        </w:rPr>
        <w:t>.</w:t>
      </w:r>
    </w:p>
    <w:p w14:paraId="613E77E4" w14:textId="77777777" w:rsidR="003D3E2E" w:rsidRDefault="003D3E2E" w:rsidP="00900885">
      <w:pPr>
        <w:pStyle w:val="Heading1"/>
        <w:tabs>
          <w:tab w:val="num" w:pos="0"/>
        </w:tabs>
        <w:ind w:left="799" w:hanging="799"/>
      </w:pPr>
      <w:r>
        <w:rPr>
          <w:rFonts w:hint="eastAsia"/>
        </w:rPr>
        <w:t>Conclusions</w:t>
      </w:r>
    </w:p>
    <w:p w14:paraId="0B99EE39" w14:textId="1C9D13A0" w:rsidR="00E24F97" w:rsidRDefault="00CB38DB" w:rsidP="00463A58">
      <w:pPr>
        <w:pStyle w:val="maintext"/>
        <w:ind w:firstLine="400"/>
      </w:pPr>
      <w:r>
        <w:t xml:space="preserve">This contribution </w:t>
      </w:r>
      <w:r w:rsidR="00B92F0A">
        <w:t>discusses</w:t>
      </w:r>
      <w:r w:rsidR="00635109">
        <w:t xml:space="preserve"> </w:t>
      </w:r>
      <w:r w:rsidR="0014483C">
        <w:t xml:space="preserve">uplink </w:t>
      </w:r>
      <w:r w:rsidR="00635109">
        <w:t>QCL</w:t>
      </w:r>
      <w:r w:rsidR="00C90CEE">
        <w:t xml:space="preserve"> issues</w:t>
      </w:r>
      <w:r>
        <w:t xml:space="preserve">. </w:t>
      </w:r>
      <w:r w:rsidR="001B6A62">
        <w:t>The</w:t>
      </w:r>
      <w:r w:rsidR="00463A58">
        <w:t xml:space="preserve"> </w:t>
      </w:r>
      <w:r w:rsidR="005E3394">
        <w:t>following is</w:t>
      </w:r>
      <w:r w:rsidR="0035784B">
        <w:t xml:space="preserve"> </w:t>
      </w:r>
      <w:r w:rsidR="00B47682">
        <w:t>observed</w:t>
      </w:r>
      <w:r w:rsidR="002D3878">
        <w:t xml:space="preserve"> and proposed</w:t>
      </w:r>
      <w:r w:rsidR="0034109B">
        <w:t>.</w:t>
      </w:r>
    </w:p>
    <w:p w14:paraId="1668CAF1" w14:textId="77C86A68" w:rsidR="00C90CEE" w:rsidRDefault="009750D7" w:rsidP="008A46AB">
      <w:pPr>
        <w:pStyle w:val="maintext"/>
        <w:ind w:firstLineChars="0" w:firstLine="0"/>
        <w:rPr>
          <w:b/>
        </w:rPr>
      </w:pPr>
      <w:r w:rsidRPr="00760BBA">
        <w:rPr>
          <w:b/>
          <w:lang w:eastAsia="zh-CN"/>
        </w:rPr>
        <w:t xml:space="preserve">Observation </w:t>
      </w:r>
      <w:r w:rsidR="00C90CEE" w:rsidRPr="00D11355">
        <w:rPr>
          <w:b/>
        </w:rPr>
        <w:t xml:space="preserve">1: TRP needs to know the QCL information </w:t>
      </w:r>
      <w:bookmarkStart w:id="2" w:name="_GoBack"/>
      <w:bookmarkEnd w:id="2"/>
      <w:r w:rsidR="00C90CEE" w:rsidRPr="00D11355">
        <w:rPr>
          <w:b/>
        </w:rPr>
        <w:t xml:space="preserve">of UL antenna ports for channel estimation and TRP Rx beamforming or </w:t>
      </w:r>
      <w:r w:rsidR="006452F3">
        <w:rPr>
          <w:b/>
        </w:rPr>
        <w:t>UL Tx beamforming</w:t>
      </w:r>
      <w:r w:rsidR="00C90CEE" w:rsidRPr="00D11355">
        <w:rPr>
          <w:b/>
        </w:rPr>
        <w:t>.</w:t>
      </w:r>
    </w:p>
    <w:p w14:paraId="6AD66926" w14:textId="18E5EF5A" w:rsidR="00E24F97" w:rsidRDefault="00E945AB" w:rsidP="008A46AB">
      <w:pPr>
        <w:pStyle w:val="maintext"/>
        <w:ind w:firstLineChars="0" w:firstLine="0"/>
        <w:rPr>
          <w:b/>
          <w:lang w:eastAsia="zh-CN"/>
        </w:rPr>
      </w:pPr>
      <w:r w:rsidRPr="008A46AB">
        <w:rPr>
          <w:b/>
          <w:lang w:eastAsia="zh-CN"/>
        </w:rPr>
        <w:t>Observation 2: Uplink measurement may be used by the TRP to determine the QCL among different UL transmission ports. Based upon that, the TRP can determine the channel estimation and TRP Rx beamforming for UL antenna ports and UL Tx beamforming used for the UE.</w:t>
      </w:r>
    </w:p>
    <w:p w14:paraId="7A38EC89" w14:textId="77777777" w:rsidR="00CC47DE" w:rsidRPr="00BC7B31" w:rsidRDefault="00CC47DE" w:rsidP="00CC47DE">
      <w:pPr>
        <w:pStyle w:val="maintext"/>
        <w:ind w:firstLineChars="0" w:firstLine="0"/>
        <w:rPr>
          <w:b/>
        </w:rPr>
      </w:pPr>
      <w:r>
        <w:rPr>
          <w:b/>
        </w:rPr>
        <w:t xml:space="preserve">Proposal </w:t>
      </w:r>
      <w:r w:rsidRPr="00753A59">
        <w:rPr>
          <w:b/>
        </w:rPr>
        <w:t xml:space="preserve">1: </w:t>
      </w:r>
      <w:r>
        <w:rPr>
          <w:b/>
        </w:rPr>
        <w:t>It is FFS whether Alt1 or Alt2 should be used in the uplink QCL procedure</w:t>
      </w:r>
      <w:r w:rsidRPr="00BC7B31">
        <w:rPr>
          <w:b/>
        </w:rPr>
        <w:t>.</w:t>
      </w:r>
    </w:p>
    <w:p w14:paraId="39A8D2B8" w14:textId="00B21DF8" w:rsidR="00463A58" w:rsidRDefault="00E90E3B" w:rsidP="00E90E3B">
      <w:pPr>
        <w:pStyle w:val="Heading1"/>
        <w:numPr>
          <w:ilvl w:val="0"/>
          <w:numId w:val="0"/>
        </w:numPr>
      </w:pPr>
      <w:r>
        <w:t>References</w:t>
      </w:r>
    </w:p>
    <w:p w14:paraId="7AC6BDE2" w14:textId="5D6E5D9A" w:rsidR="00051113" w:rsidRPr="00DC57D3" w:rsidRDefault="00051113" w:rsidP="00051113">
      <w:bookmarkStart w:id="3" w:name="_Ref456978685"/>
      <w:r>
        <w:rPr>
          <w:lang w:eastAsia="ko-KR"/>
        </w:rPr>
        <w:t xml:space="preserve">[1] </w:t>
      </w:r>
      <w:r w:rsidRPr="00DC57D3">
        <w:rPr>
          <w:rFonts w:hint="eastAsia"/>
        </w:rPr>
        <w:t>RAN1#</w:t>
      </w:r>
      <w:r w:rsidR="00A5767A">
        <w:t>NR AH meetings</w:t>
      </w:r>
      <w:r w:rsidRPr="00DC57D3">
        <w:rPr>
          <w:rFonts w:hint="eastAsia"/>
        </w:rPr>
        <w:t xml:space="preserve"> chairman</w:t>
      </w:r>
      <w:r w:rsidRPr="00DC57D3">
        <w:t>’</w:t>
      </w:r>
      <w:r w:rsidR="00A5767A">
        <w:rPr>
          <w:rFonts w:hint="eastAsia"/>
        </w:rPr>
        <w:t>s note, January 2017</w:t>
      </w:r>
      <w:r w:rsidRPr="00DC57D3">
        <w:rPr>
          <w:rFonts w:hint="eastAsia"/>
        </w:rPr>
        <w:t>.</w:t>
      </w:r>
      <w:bookmarkEnd w:id="3"/>
    </w:p>
    <w:p w14:paraId="32C2764E" w14:textId="5DE1F1FF" w:rsidR="00391540" w:rsidRPr="00391540" w:rsidRDefault="00A628EE" w:rsidP="00E90E3B">
      <w:pPr>
        <w:rPr>
          <w:lang w:eastAsia="ko-KR"/>
        </w:rPr>
      </w:pPr>
      <w:r>
        <w:rPr>
          <w:lang w:eastAsia="ko-KR"/>
        </w:rPr>
        <w:t xml:space="preserve">[2] </w:t>
      </w:r>
      <w:hyperlink r:id="rId10" w:history="1">
        <w:r w:rsidRPr="00FD51B2">
          <w:rPr>
            <w:lang w:eastAsia="ko-KR"/>
          </w:rPr>
          <w:t>R1-17</w:t>
        </w:r>
        <w:r>
          <w:rPr>
            <w:lang w:eastAsia="ko-KR"/>
          </w:rPr>
          <w:t>xxxxx</w:t>
        </w:r>
      </w:hyperlink>
      <w:r w:rsidRPr="00FD51B2">
        <w:rPr>
          <w:lang w:eastAsia="ko-KR"/>
        </w:rPr>
        <w:t xml:space="preserve">, </w:t>
      </w:r>
      <w:r w:rsidR="00E53CE1" w:rsidRPr="00E53CE1">
        <w:rPr>
          <w:lang w:eastAsia="ko-KR"/>
        </w:rPr>
        <w:t>Multi-panel MIMO</w:t>
      </w:r>
      <w:r w:rsidRPr="00FD51B2">
        <w:rPr>
          <w:lang w:eastAsia="ko-KR"/>
        </w:rPr>
        <w:t xml:space="preserve">, </w:t>
      </w:r>
      <w:r>
        <w:rPr>
          <w:rFonts w:hint="eastAsia"/>
          <w:lang w:eastAsia="ko-KR"/>
        </w:rPr>
        <w:t>3GPP TSG RAN1</w:t>
      </w:r>
      <w:r>
        <w:rPr>
          <w:lang w:eastAsia="ko-KR"/>
        </w:rPr>
        <w:t>#88</w:t>
      </w:r>
      <w:r w:rsidRPr="00FD51B2">
        <w:rPr>
          <w:lang w:eastAsia="ko-KR"/>
        </w:rPr>
        <w:t xml:space="preserve">, </w:t>
      </w:r>
      <w:r>
        <w:rPr>
          <w:lang w:eastAsia="ko-KR"/>
        </w:rPr>
        <w:t>Samsung</w:t>
      </w:r>
    </w:p>
    <w:sectPr w:rsidR="00391540" w:rsidRPr="00391540"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397BE" w14:textId="77777777" w:rsidR="006A593F" w:rsidRDefault="006A593F">
      <w:r>
        <w:separator/>
      </w:r>
    </w:p>
  </w:endnote>
  <w:endnote w:type="continuationSeparator" w:id="0">
    <w:p w14:paraId="39D33859" w14:textId="77777777" w:rsidR="006A593F" w:rsidRDefault="006A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BE393" w14:textId="77777777" w:rsidR="006A593F" w:rsidRDefault="006A593F">
      <w:r>
        <w:separator/>
      </w:r>
    </w:p>
  </w:footnote>
  <w:footnote w:type="continuationSeparator" w:id="0">
    <w:p w14:paraId="3E4CAF8E" w14:textId="77777777" w:rsidR="006A593F" w:rsidRDefault="006A5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4"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0"/>
  </w:num>
  <w:num w:numId="4">
    <w:abstractNumId w:val="29"/>
  </w:num>
  <w:num w:numId="5">
    <w:abstractNumId w:val="1"/>
  </w:num>
  <w:num w:numId="6">
    <w:abstractNumId w:val="9"/>
  </w:num>
  <w:num w:numId="7">
    <w:abstractNumId w:val="17"/>
  </w:num>
  <w:num w:numId="8">
    <w:abstractNumId w:val="14"/>
  </w:num>
  <w:num w:numId="9">
    <w:abstractNumId w:val="15"/>
  </w:num>
  <w:num w:numId="10">
    <w:abstractNumId w:val="11"/>
  </w:num>
  <w:num w:numId="11">
    <w:abstractNumId w:val="4"/>
  </w:num>
  <w:num w:numId="12">
    <w:abstractNumId w:val="26"/>
  </w:num>
  <w:num w:numId="13">
    <w:abstractNumId w:val="32"/>
  </w:num>
  <w:num w:numId="14">
    <w:abstractNumId w:val="13"/>
  </w:num>
  <w:num w:numId="15">
    <w:abstractNumId w:val="34"/>
  </w:num>
  <w:num w:numId="16">
    <w:abstractNumId w:val="24"/>
  </w:num>
  <w:num w:numId="17">
    <w:abstractNumId w:val="3"/>
  </w:num>
  <w:num w:numId="18">
    <w:abstractNumId w:val="22"/>
  </w:num>
  <w:num w:numId="19">
    <w:abstractNumId w:val="0"/>
  </w:num>
  <w:num w:numId="20">
    <w:abstractNumId w:val="8"/>
  </w:num>
  <w:num w:numId="21">
    <w:abstractNumId w:val="12"/>
  </w:num>
  <w:num w:numId="22">
    <w:abstractNumId w:val="30"/>
  </w:num>
  <w:num w:numId="23">
    <w:abstractNumId w:val="28"/>
  </w:num>
  <w:num w:numId="24">
    <w:abstractNumId w:val="7"/>
  </w:num>
  <w:num w:numId="25">
    <w:abstractNumId w:val="31"/>
  </w:num>
  <w:num w:numId="26">
    <w:abstractNumId w:val="21"/>
  </w:num>
  <w:num w:numId="27">
    <w:abstractNumId w:val="5"/>
  </w:num>
  <w:num w:numId="28">
    <w:abstractNumId w:val="18"/>
  </w:num>
  <w:num w:numId="29">
    <w:abstractNumId w:val="2"/>
  </w:num>
  <w:num w:numId="30">
    <w:abstractNumId w:val="19"/>
  </w:num>
  <w:num w:numId="31">
    <w:abstractNumId w:val="23"/>
  </w:num>
  <w:num w:numId="32">
    <w:abstractNumId w:val="16"/>
  </w:num>
  <w:num w:numId="33">
    <w:abstractNumId w:val="10"/>
  </w:num>
  <w:num w:numId="34">
    <w:abstractNumId w:val="25"/>
  </w:num>
  <w:num w:numId="35">
    <w:abstractNumId w:val="33"/>
  </w:num>
  <w:num w:numId="3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D76"/>
    <w:rsid w:val="00036EB5"/>
    <w:rsid w:val="000375ED"/>
    <w:rsid w:val="0004021D"/>
    <w:rsid w:val="00040956"/>
    <w:rsid w:val="0004152C"/>
    <w:rsid w:val="0004195B"/>
    <w:rsid w:val="0004245C"/>
    <w:rsid w:val="00043757"/>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39B"/>
    <w:rsid w:val="00097CF7"/>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7057"/>
    <w:rsid w:val="000C074E"/>
    <w:rsid w:val="000C14C1"/>
    <w:rsid w:val="000C1DF9"/>
    <w:rsid w:val="000C2DAC"/>
    <w:rsid w:val="000C3A4B"/>
    <w:rsid w:val="000C3C17"/>
    <w:rsid w:val="000C521E"/>
    <w:rsid w:val="000C650F"/>
    <w:rsid w:val="000C7354"/>
    <w:rsid w:val="000C7D3E"/>
    <w:rsid w:val="000D00DD"/>
    <w:rsid w:val="000D1026"/>
    <w:rsid w:val="000D19F4"/>
    <w:rsid w:val="000D1C34"/>
    <w:rsid w:val="000D1D1C"/>
    <w:rsid w:val="000D25AC"/>
    <w:rsid w:val="000D4806"/>
    <w:rsid w:val="000D5200"/>
    <w:rsid w:val="000D5B66"/>
    <w:rsid w:val="000D758A"/>
    <w:rsid w:val="000D77B5"/>
    <w:rsid w:val="000D7980"/>
    <w:rsid w:val="000D7EA8"/>
    <w:rsid w:val="000E02BA"/>
    <w:rsid w:val="000E0446"/>
    <w:rsid w:val="000E13E9"/>
    <w:rsid w:val="000E2201"/>
    <w:rsid w:val="000E396C"/>
    <w:rsid w:val="000E41EC"/>
    <w:rsid w:val="000E48A4"/>
    <w:rsid w:val="000E4D32"/>
    <w:rsid w:val="000E512F"/>
    <w:rsid w:val="000E6145"/>
    <w:rsid w:val="000E6738"/>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303A"/>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607A9"/>
    <w:rsid w:val="001619FA"/>
    <w:rsid w:val="00162392"/>
    <w:rsid w:val="00163692"/>
    <w:rsid w:val="001639BD"/>
    <w:rsid w:val="00164498"/>
    <w:rsid w:val="001647D1"/>
    <w:rsid w:val="001649A0"/>
    <w:rsid w:val="0016551E"/>
    <w:rsid w:val="0016793B"/>
    <w:rsid w:val="00167D7B"/>
    <w:rsid w:val="00167F3F"/>
    <w:rsid w:val="0017033E"/>
    <w:rsid w:val="00170CD5"/>
    <w:rsid w:val="00171E74"/>
    <w:rsid w:val="00172288"/>
    <w:rsid w:val="00172663"/>
    <w:rsid w:val="00174725"/>
    <w:rsid w:val="00176B67"/>
    <w:rsid w:val="00177B81"/>
    <w:rsid w:val="00177ECC"/>
    <w:rsid w:val="001801D3"/>
    <w:rsid w:val="00180AD4"/>
    <w:rsid w:val="00180B2A"/>
    <w:rsid w:val="00181899"/>
    <w:rsid w:val="00182645"/>
    <w:rsid w:val="00182C2C"/>
    <w:rsid w:val="00182E06"/>
    <w:rsid w:val="00183E11"/>
    <w:rsid w:val="00184848"/>
    <w:rsid w:val="001850D6"/>
    <w:rsid w:val="00186D71"/>
    <w:rsid w:val="00187472"/>
    <w:rsid w:val="00190C6F"/>
    <w:rsid w:val="00190F9B"/>
    <w:rsid w:val="001911AC"/>
    <w:rsid w:val="0019161B"/>
    <w:rsid w:val="00192013"/>
    <w:rsid w:val="00192CE7"/>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B00DC"/>
    <w:rsid w:val="001B010D"/>
    <w:rsid w:val="001B1FAD"/>
    <w:rsid w:val="001B2B04"/>
    <w:rsid w:val="001B437C"/>
    <w:rsid w:val="001B4387"/>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B02"/>
    <w:rsid w:val="001F7C2B"/>
    <w:rsid w:val="00202049"/>
    <w:rsid w:val="00202279"/>
    <w:rsid w:val="00202BE0"/>
    <w:rsid w:val="002044FD"/>
    <w:rsid w:val="00205DF1"/>
    <w:rsid w:val="0021177B"/>
    <w:rsid w:val="0021354A"/>
    <w:rsid w:val="00214221"/>
    <w:rsid w:val="00214363"/>
    <w:rsid w:val="0021488F"/>
    <w:rsid w:val="0021595D"/>
    <w:rsid w:val="00215AE6"/>
    <w:rsid w:val="002164F7"/>
    <w:rsid w:val="00217130"/>
    <w:rsid w:val="002176FA"/>
    <w:rsid w:val="002177FD"/>
    <w:rsid w:val="00217AA4"/>
    <w:rsid w:val="00217EFB"/>
    <w:rsid w:val="00220CE6"/>
    <w:rsid w:val="00221014"/>
    <w:rsid w:val="00221965"/>
    <w:rsid w:val="00222B5E"/>
    <w:rsid w:val="00222C0B"/>
    <w:rsid w:val="002234ED"/>
    <w:rsid w:val="00223BC8"/>
    <w:rsid w:val="00225263"/>
    <w:rsid w:val="00225DA9"/>
    <w:rsid w:val="00225E05"/>
    <w:rsid w:val="00225F6B"/>
    <w:rsid w:val="00226DBE"/>
    <w:rsid w:val="00227642"/>
    <w:rsid w:val="002276C3"/>
    <w:rsid w:val="00227E85"/>
    <w:rsid w:val="00230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5DF"/>
    <w:rsid w:val="002F7A19"/>
    <w:rsid w:val="003006CA"/>
    <w:rsid w:val="00303031"/>
    <w:rsid w:val="0030336D"/>
    <w:rsid w:val="00303FBB"/>
    <w:rsid w:val="003052A7"/>
    <w:rsid w:val="00305D56"/>
    <w:rsid w:val="003065FD"/>
    <w:rsid w:val="0031062D"/>
    <w:rsid w:val="00310B3E"/>
    <w:rsid w:val="003114E5"/>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35BB"/>
    <w:rsid w:val="0034437D"/>
    <w:rsid w:val="00344CFE"/>
    <w:rsid w:val="00345DEA"/>
    <w:rsid w:val="00346C08"/>
    <w:rsid w:val="003476A1"/>
    <w:rsid w:val="003514CD"/>
    <w:rsid w:val="00353783"/>
    <w:rsid w:val="003539CB"/>
    <w:rsid w:val="00354C75"/>
    <w:rsid w:val="003552C8"/>
    <w:rsid w:val="003556DB"/>
    <w:rsid w:val="0035784B"/>
    <w:rsid w:val="00357E9F"/>
    <w:rsid w:val="00360211"/>
    <w:rsid w:val="00360CD6"/>
    <w:rsid w:val="003611FC"/>
    <w:rsid w:val="00361538"/>
    <w:rsid w:val="0036184D"/>
    <w:rsid w:val="00361A11"/>
    <w:rsid w:val="00361D72"/>
    <w:rsid w:val="003626DE"/>
    <w:rsid w:val="00362D53"/>
    <w:rsid w:val="00362DB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40F8"/>
    <w:rsid w:val="003A4806"/>
    <w:rsid w:val="003A5446"/>
    <w:rsid w:val="003A58A7"/>
    <w:rsid w:val="003A5945"/>
    <w:rsid w:val="003A6287"/>
    <w:rsid w:val="003A69C3"/>
    <w:rsid w:val="003A730C"/>
    <w:rsid w:val="003B0AC6"/>
    <w:rsid w:val="003B1AA1"/>
    <w:rsid w:val="003B33FB"/>
    <w:rsid w:val="003B37C5"/>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25E4"/>
    <w:rsid w:val="00415248"/>
    <w:rsid w:val="00417D6D"/>
    <w:rsid w:val="00417E71"/>
    <w:rsid w:val="00417FAD"/>
    <w:rsid w:val="00420019"/>
    <w:rsid w:val="004204E8"/>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6BA9"/>
    <w:rsid w:val="00436F44"/>
    <w:rsid w:val="00437386"/>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50C48"/>
    <w:rsid w:val="00452E54"/>
    <w:rsid w:val="004530DE"/>
    <w:rsid w:val="0045322C"/>
    <w:rsid w:val="00453547"/>
    <w:rsid w:val="00453CC6"/>
    <w:rsid w:val="00454D22"/>
    <w:rsid w:val="00455E7A"/>
    <w:rsid w:val="0045694D"/>
    <w:rsid w:val="00456C79"/>
    <w:rsid w:val="00460EA7"/>
    <w:rsid w:val="00461C28"/>
    <w:rsid w:val="004624A3"/>
    <w:rsid w:val="004638F4"/>
    <w:rsid w:val="00463A58"/>
    <w:rsid w:val="0046666D"/>
    <w:rsid w:val="00467A29"/>
    <w:rsid w:val="00470D36"/>
    <w:rsid w:val="0047128F"/>
    <w:rsid w:val="00471E5A"/>
    <w:rsid w:val="00473944"/>
    <w:rsid w:val="00474060"/>
    <w:rsid w:val="00474BDC"/>
    <w:rsid w:val="00474D44"/>
    <w:rsid w:val="00474F44"/>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A37"/>
    <w:rsid w:val="00496446"/>
    <w:rsid w:val="004965F3"/>
    <w:rsid w:val="004A034D"/>
    <w:rsid w:val="004A0A28"/>
    <w:rsid w:val="004A1408"/>
    <w:rsid w:val="004A2F45"/>
    <w:rsid w:val="004A360E"/>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84E"/>
    <w:rsid w:val="004E5728"/>
    <w:rsid w:val="004E577A"/>
    <w:rsid w:val="004E6011"/>
    <w:rsid w:val="004F040F"/>
    <w:rsid w:val="004F04D1"/>
    <w:rsid w:val="004F120F"/>
    <w:rsid w:val="004F17BB"/>
    <w:rsid w:val="004F197E"/>
    <w:rsid w:val="004F2B1B"/>
    <w:rsid w:val="004F4A81"/>
    <w:rsid w:val="00501E42"/>
    <w:rsid w:val="00503979"/>
    <w:rsid w:val="00503993"/>
    <w:rsid w:val="00503F9D"/>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1CE"/>
    <w:rsid w:val="00594308"/>
    <w:rsid w:val="00594AAF"/>
    <w:rsid w:val="00595B38"/>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C0679"/>
    <w:rsid w:val="005C105E"/>
    <w:rsid w:val="005C1174"/>
    <w:rsid w:val="005C1FE0"/>
    <w:rsid w:val="005C3014"/>
    <w:rsid w:val="005C31A3"/>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7473"/>
    <w:rsid w:val="005D767C"/>
    <w:rsid w:val="005D7BC7"/>
    <w:rsid w:val="005E2034"/>
    <w:rsid w:val="005E3394"/>
    <w:rsid w:val="005E4EF8"/>
    <w:rsid w:val="005E52D7"/>
    <w:rsid w:val="005E58B6"/>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7A48"/>
    <w:rsid w:val="00680466"/>
    <w:rsid w:val="006805A5"/>
    <w:rsid w:val="00680617"/>
    <w:rsid w:val="00680B3D"/>
    <w:rsid w:val="00680FE3"/>
    <w:rsid w:val="006811C4"/>
    <w:rsid w:val="0068173F"/>
    <w:rsid w:val="006826A1"/>
    <w:rsid w:val="006826B6"/>
    <w:rsid w:val="00683595"/>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999"/>
    <w:rsid w:val="006E1EC6"/>
    <w:rsid w:val="006E359B"/>
    <w:rsid w:val="006E5428"/>
    <w:rsid w:val="006E5933"/>
    <w:rsid w:val="006E6697"/>
    <w:rsid w:val="006E6A76"/>
    <w:rsid w:val="006E7C35"/>
    <w:rsid w:val="006F199F"/>
    <w:rsid w:val="006F204A"/>
    <w:rsid w:val="006F28B7"/>
    <w:rsid w:val="006F459E"/>
    <w:rsid w:val="006F4BD2"/>
    <w:rsid w:val="006F4D44"/>
    <w:rsid w:val="006F4D8E"/>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77ED"/>
    <w:rsid w:val="007179DC"/>
    <w:rsid w:val="00720A64"/>
    <w:rsid w:val="0072161A"/>
    <w:rsid w:val="0072162A"/>
    <w:rsid w:val="0072166D"/>
    <w:rsid w:val="007217AF"/>
    <w:rsid w:val="00721B2F"/>
    <w:rsid w:val="007238F8"/>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429E"/>
    <w:rsid w:val="00775996"/>
    <w:rsid w:val="00776056"/>
    <w:rsid w:val="0077688F"/>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6ECF"/>
    <w:rsid w:val="007973AE"/>
    <w:rsid w:val="00797420"/>
    <w:rsid w:val="00797B10"/>
    <w:rsid w:val="007A0209"/>
    <w:rsid w:val="007A119E"/>
    <w:rsid w:val="007A3DB5"/>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140A"/>
    <w:rsid w:val="007E151A"/>
    <w:rsid w:val="007E1D9C"/>
    <w:rsid w:val="007E343C"/>
    <w:rsid w:val="007E4182"/>
    <w:rsid w:val="007E42C7"/>
    <w:rsid w:val="007E5428"/>
    <w:rsid w:val="007E57D0"/>
    <w:rsid w:val="007E63F4"/>
    <w:rsid w:val="007E7FB0"/>
    <w:rsid w:val="007F400E"/>
    <w:rsid w:val="007F4A63"/>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2A05"/>
    <w:rsid w:val="00812B7C"/>
    <w:rsid w:val="00812C82"/>
    <w:rsid w:val="0081357E"/>
    <w:rsid w:val="00814AD0"/>
    <w:rsid w:val="00814EE4"/>
    <w:rsid w:val="00815694"/>
    <w:rsid w:val="008166DC"/>
    <w:rsid w:val="00817658"/>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5FC"/>
    <w:rsid w:val="008766F7"/>
    <w:rsid w:val="00877054"/>
    <w:rsid w:val="00877486"/>
    <w:rsid w:val="0087758D"/>
    <w:rsid w:val="00877BC4"/>
    <w:rsid w:val="00880A9E"/>
    <w:rsid w:val="00881099"/>
    <w:rsid w:val="00881485"/>
    <w:rsid w:val="00881CA6"/>
    <w:rsid w:val="008822B4"/>
    <w:rsid w:val="008824D0"/>
    <w:rsid w:val="00883535"/>
    <w:rsid w:val="008835D0"/>
    <w:rsid w:val="00884784"/>
    <w:rsid w:val="00884FE0"/>
    <w:rsid w:val="0088732D"/>
    <w:rsid w:val="008876A1"/>
    <w:rsid w:val="008903AE"/>
    <w:rsid w:val="008911AE"/>
    <w:rsid w:val="00891393"/>
    <w:rsid w:val="00892EF8"/>
    <w:rsid w:val="00893197"/>
    <w:rsid w:val="00895496"/>
    <w:rsid w:val="00895684"/>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28C5"/>
    <w:rsid w:val="008B2920"/>
    <w:rsid w:val="008B3B3C"/>
    <w:rsid w:val="008B494B"/>
    <w:rsid w:val="008B5321"/>
    <w:rsid w:val="008B6030"/>
    <w:rsid w:val="008B6EC4"/>
    <w:rsid w:val="008C0D2F"/>
    <w:rsid w:val="008C24A5"/>
    <w:rsid w:val="008C3FDD"/>
    <w:rsid w:val="008C4908"/>
    <w:rsid w:val="008C4A3B"/>
    <w:rsid w:val="008C5D63"/>
    <w:rsid w:val="008C7A40"/>
    <w:rsid w:val="008D1479"/>
    <w:rsid w:val="008D324A"/>
    <w:rsid w:val="008D39F0"/>
    <w:rsid w:val="008D39FD"/>
    <w:rsid w:val="008D5A50"/>
    <w:rsid w:val="008D5BAB"/>
    <w:rsid w:val="008D76CC"/>
    <w:rsid w:val="008E0543"/>
    <w:rsid w:val="008E1091"/>
    <w:rsid w:val="008E158C"/>
    <w:rsid w:val="008E1CBB"/>
    <w:rsid w:val="008E1EB9"/>
    <w:rsid w:val="008E2BF0"/>
    <w:rsid w:val="008E553A"/>
    <w:rsid w:val="008E6405"/>
    <w:rsid w:val="008E6490"/>
    <w:rsid w:val="008E661C"/>
    <w:rsid w:val="008E686B"/>
    <w:rsid w:val="008E7AFD"/>
    <w:rsid w:val="008F1B19"/>
    <w:rsid w:val="008F2B67"/>
    <w:rsid w:val="008F301F"/>
    <w:rsid w:val="008F3F16"/>
    <w:rsid w:val="008F4D7E"/>
    <w:rsid w:val="008F55A4"/>
    <w:rsid w:val="008F684D"/>
    <w:rsid w:val="008F6B64"/>
    <w:rsid w:val="0090039D"/>
    <w:rsid w:val="00900885"/>
    <w:rsid w:val="00901A1C"/>
    <w:rsid w:val="009027B1"/>
    <w:rsid w:val="00902F8A"/>
    <w:rsid w:val="009038A9"/>
    <w:rsid w:val="00904908"/>
    <w:rsid w:val="00906BCC"/>
    <w:rsid w:val="009078A9"/>
    <w:rsid w:val="00907CE5"/>
    <w:rsid w:val="00910239"/>
    <w:rsid w:val="009103AF"/>
    <w:rsid w:val="00910BC5"/>
    <w:rsid w:val="00910E56"/>
    <w:rsid w:val="009112F8"/>
    <w:rsid w:val="00911813"/>
    <w:rsid w:val="0091353B"/>
    <w:rsid w:val="0091365E"/>
    <w:rsid w:val="00916842"/>
    <w:rsid w:val="009170D7"/>
    <w:rsid w:val="00917BD8"/>
    <w:rsid w:val="00917FC7"/>
    <w:rsid w:val="0092003A"/>
    <w:rsid w:val="009215FD"/>
    <w:rsid w:val="00921C98"/>
    <w:rsid w:val="00922C4B"/>
    <w:rsid w:val="009243FE"/>
    <w:rsid w:val="0092441A"/>
    <w:rsid w:val="0092530C"/>
    <w:rsid w:val="00925A99"/>
    <w:rsid w:val="00926099"/>
    <w:rsid w:val="00926F98"/>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600D4"/>
    <w:rsid w:val="0096225A"/>
    <w:rsid w:val="009652CF"/>
    <w:rsid w:val="00965751"/>
    <w:rsid w:val="009663A1"/>
    <w:rsid w:val="00967D6D"/>
    <w:rsid w:val="00972D70"/>
    <w:rsid w:val="00973600"/>
    <w:rsid w:val="009750D7"/>
    <w:rsid w:val="00975CC7"/>
    <w:rsid w:val="00976F41"/>
    <w:rsid w:val="00977E64"/>
    <w:rsid w:val="00980278"/>
    <w:rsid w:val="00980425"/>
    <w:rsid w:val="0098068D"/>
    <w:rsid w:val="00980D78"/>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089D"/>
    <w:rsid w:val="009A0C31"/>
    <w:rsid w:val="009A20C6"/>
    <w:rsid w:val="009A2B5A"/>
    <w:rsid w:val="009A3765"/>
    <w:rsid w:val="009A4121"/>
    <w:rsid w:val="009A546A"/>
    <w:rsid w:val="009A595A"/>
    <w:rsid w:val="009B2003"/>
    <w:rsid w:val="009B245D"/>
    <w:rsid w:val="009B40B4"/>
    <w:rsid w:val="009B4457"/>
    <w:rsid w:val="009B4837"/>
    <w:rsid w:val="009B78C4"/>
    <w:rsid w:val="009B7F8D"/>
    <w:rsid w:val="009C09A4"/>
    <w:rsid w:val="009C2DD9"/>
    <w:rsid w:val="009C3A0D"/>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773"/>
    <w:rsid w:val="00A17895"/>
    <w:rsid w:val="00A207CA"/>
    <w:rsid w:val="00A21216"/>
    <w:rsid w:val="00A21BCD"/>
    <w:rsid w:val="00A232AC"/>
    <w:rsid w:val="00A2337A"/>
    <w:rsid w:val="00A2384E"/>
    <w:rsid w:val="00A252F2"/>
    <w:rsid w:val="00A25825"/>
    <w:rsid w:val="00A26BD0"/>
    <w:rsid w:val="00A2781F"/>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41C2"/>
    <w:rsid w:val="00A7437D"/>
    <w:rsid w:val="00A74895"/>
    <w:rsid w:val="00A74F04"/>
    <w:rsid w:val="00A75416"/>
    <w:rsid w:val="00A769DE"/>
    <w:rsid w:val="00A812D4"/>
    <w:rsid w:val="00A81B80"/>
    <w:rsid w:val="00A81B88"/>
    <w:rsid w:val="00A83127"/>
    <w:rsid w:val="00A83A01"/>
    <w:rsid w:val="00A83C1F"/>
    <w:rsid w:val="00A846F3"/>
    <w:rsid w:val="00A84BB7"/>
    <w:rsid w:val="00A84D92"/>
    <w:rsid w:val="00A84E99"/>
    <w:rsid w:val="00A86177"/>
    <w:rsid w:val="00A90971"/>
    <w:rsid w:val="00A91995"/>
    <w:rsid w:val="00A92836"/>
    <w:rsid w:val="00A930E9"/>
    <w:rsid w:val="00A9428F"/>
    <w:rsid w:val="00A9571F"/>
    <w:rsid w:val="00A96360"/>
    <w:rsid w:val="00A9778A"/>
    <w:rsid w:val="00A97967"/>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5C6A"/>
    <w:rsid w:val="00B26342"/>
    <w:rsid w:val="00B2681C"/>
    <w:rsid w:val="00B325F5"/>
    <w:rsid w:val="00B32D75"/>
    <w:rsid w:val="00B3361F"/>
    <w:rsid w:val="00B339CD"/>
    <w:rsid w:val="00B342AC"/>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267A"/>
    <w:rsid w:val="00BA35EC"/>
    <w:rsid w:val="00BA3A0E"/>
    <w:rsid w:val="00BA3D0B"/>
    <w:rsid w:val="00BA3E33"/>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26BA"/>
    <w:rsid w:val="00BC5ECA"/>
    <w:rsid w:val="00BC6B61"/>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5287"/>
    <w:rsid w:val="00C02C22"/>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617F"/>
    <w:rsid w:val="00C27490"/>
    <w:rsid w:val="00C311DA"/>
    <w:rsid w:val="00C32284"/>
    <w:rsid w:val="00C328DB"/>
    <w:rsid w:val="00C32AC2"/>
    <w:rsid w:val="00C33BE7"/>
    <w:rsid w:val="00C35181"/>
    <w:rsid w:val="00C3575E"/>
    <w:rsid w:val="00C359D2"/>
    <w:rsid w:val="00C361D1"/>
    <w:rsid w:val="00C36CCF"/>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3756"/>
    <w:rsid w:val="00C837AA"/>
    <w:rsid w:val="00C852E7"/>
    <w:rsid w:val="00C8628A"/>
    <w:rsid w:val="00C865CD"/>
    <w:rsid w:val="00C865E0"/>
    <w:rsid w:val="00C877FD"/>
    <w:rsid w:val="00C87E29"/>
    <w:rsid w:val="00C90CEE"/>
    <w:rsid w:val="00C90F8D"/>
    <w:rsid w:val="00C9223F"/>
    <w:rsid w:val="00C92319"/>
    <w:rsid w:val="00C93759"/>
    <w:rsid w:val="00C9424E"/>
    <w:rsid w:val="00C943D1"/>
    <w:rsid w:val="00C95D73"/>
    <w:rsid w:val="00C9621E"/>
    <w:rsid w:val="00CA0873"/>
    <w:rsid w:val="00CA0BB9"/>
    <w:rsid w:val="00CA18DB"/>
    <w:rsid w:val="00CA220D"/>
    <w:rsid w:val="00CA22E2"/>
    <w:rsid w:val="00CA37ED"/>
    <w:rsid w:val="00CA39B9"/>
    <w:rsid w:val="00CA51F4"/>
    <w:rsid w:val="00CA56C6"/>
    <w:rsid w:val="00CA5B23"/>
    <w:rsid w:val="00CB0153"/>
    <w:rsid w:val="00CB0560"/>
    <w:rsid w:val="00CB0893"/>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7C8D"/>
    <w:rsid w:val="00CC7E95"/>
    <w:rsid w:val="00CD0F01"/>
    <w:rsid w:val="00CD13E5"/>
    <w:rsid w:val="00CD1BD3"/>
    <w:rsid w:val="00CD3320"/>
    <w:rsid w:val="00CD66F3"/>
    <w:rsid w:val="00CD6D6B"/>
    <w:rsid w:val="00CE1480"/>
    <w:rsid w:val="00CE1D79"/>
    <w:rsid w:val="00CE2094"/>
    <w:rsid w:val="00CE29FE"/>
    <w:rsid w:val="00CE2B65"/>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47F5"/>
    <w:rsid w:val="00D14C5D"/>
    <w:rsid w:val="00D154BD"/>
    <w:rsid w:val="00D15929"/>
    <w:rsid w:val="00D15A2A"/>
    <w:rsid w:val="00D16868"/>
    <w:rsid w:val="00D1686D"/>
    <w:rsid w:val="00D1699F"/>
    <w:rsid w:val="00D2026E"/>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E1A"/>
    <w:rsid w:val="00D731FC"/>
    <w:rsid w:val="00D74E56"/>
    <w:rsid w:val="00D74EF6"/>
    <w:rsid w:val="00D774F5"/>
    <w:rsid w:val="00D8023F"/>
    <w:rsid w:val="00D8473A"/>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C1896"/>
    <w:rsid w:val="00DC19D1"/>
    <w:rsid w:val="00DC1D4C"/>
    <w:rsid w:val="00DC3F52"/>
    <w:rsid w:val="00DC4A9D"/>
    <w:rsid w:val="00DC4EE4"/>
    <w:rsid w:val="00DC541E"/>
    <w:rsid w:val="00DC5DB3"/>
    <w:rsid w:val="00DC5E56"/>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35B"/>
    <w:rsid w:val="00DE31AD"/>
    <w:rsid w:val="00DE4DC1"/>
    <w:rsid w:val="00DE714A"/>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E56"/>
    <w:rsid w:val="00EA2847"/>
    <w:rsid w:val="00EA354E"/>
    <w:rsid w:val="00EA39E8"/>
    <w:rsid w:val="00EA46D7"/>
    <w:rsid w:val="00EA4766"/>
    <w:rsid w:val="00EA4B34"/>
    <w:rsid w:val="00EA633E"/>
    <w:rsid w:val="00EA6792"/>
    <w:rsid w:val="00EA6C38"/>
    <w:rsid w:val="00EA73BC"/>
    <w:rsid w:val="00EA76B8"/>
    <w:rsid w:val="00EA773E"/>
    <w:rsid w:val="00EA7A98"/>
    <w:rsid w:val="00EB0972"/>
    <w:rsid w:val="00EB2031"/>
    <w:rsid w:val="00EB25B1"/>
    <w:rsid w:val="00EB3120"/>
    <w:rsid w:val="00EB45BB"/>
    <w:rsid w:val="00EC03BE"/>
    <w:rsid w:val="00EC1B2D"/>
    <w:rsid w:val="00EC1D3E"/>
    <w:rsid w:val="00EC235B"/>
    <w:rsid w:val="00EC2ED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728"/>
    <w:rsid w:val="00ED66F9"/>
    <w:rsid w:val="00EE082D"/>
    <w:rsid w:val="00EE08C5"/>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1730"/>
    <w:rsid w:val="00F1312D"/>
    <w:rsid w:val="00F133E1"/>
    <w:rsid w:val="00F136E9"/>
    <w:rsid w:val="00F1444B"/>
    <w:rsid w:val="00F1561F"/>
    <w:rsid w:val="00F15D19"/>
    <w:rsid w:val="00F16046"/>
    <w:rsid w:val="00F173FD"/>
    <w:rsid w:val="00F2058B"/>
    <w:rsid w:val="00F20DB4"/>
    <w:rsid w:val="00F212BA"/>
    <w:rsid w:val="00F229F9"/>
    <w:rsid w:val="00F2372B"/>
    <w:rsid w:val="00F249A5"/>
    <w:rsid w:val="00F272BF"/>
    <w:rsid w:val="00F2776C"/>
    <w:rsid w:val="00F27C7B"/>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AB7"/>
    <w:rsid w:val="00F432E5"/>
    <w:rsid w:val="00F43306"/>
    <w:rsid w:val="00F4341A"/>
    <w:rsid w:val="00F442EF"/>
    <w:rsid w:val="00F45BC7"/>
    <w:rsid w:val="00F45E58"/>
    <w:rsid w:val="00F46173"/>
    <w:rsid w:val="00F4770C"/>
    <w:rsid w:val="00F47ABE"/>
    <w:rsid w:val="00F50B25"/>
    <w:rsid w:val="00F50EF1"/>
    <w:rsid w:val="00F5387B"/>
    <w:rsid w:val="00F54DA0"/>
    <w:rsid w:val="00F5546B"/>
    <w:rsid w:val="00F55702"/>
    <w:rsid w:val="00F56484"/>
    <w:rsid w:val="00F56546"/>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3CCE"/>
    <w:rsid w:val="00F74937"/>
    <w:rsid w:val="00F7496A"/>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598"/>
    <w:rsid w:val="00FB7C17"/>
    <w:rsid w:val="00FC0D33"/>
    <w:rsid w:val="00FC1C8A"/>
    <w:rsid w:val="00FC1D4F"/>
    <w:rsid w:val="00FC2BA3"/>
    <w:rsid w:val="00FC4D16"/>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9CE"/>
    <w:rsid w:val="00FD6D67"/>
    <w:rsid w:val="00FD73F6"/>
    <w:rsid w:val="00FD7DAF"/>
    <w:rsid w:val="00FE085B"/>
    <w:rsid w:val="00FE11A8"/>
    <w:rsid w:val="00FE1F6A"/>
    <w:rsid w:val="00FE2459"/>
    <w:rsid w:val="00FE50AE"/>
    <w:rsid w:val="00FE5BE6"/>
    <w:rsid w:val="00FE5C15"/>
    <w:rsid w:val="00FF09FC"/>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chao1.h\work\protocols\R1-1700065.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887F9-2F69-4B11-BF83-A7C4E84B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121</cp:revision>
  <cp:lastPrinted>2012-03-15T10:36:00Z</cp:lastPrinted>
  <dcterms:created xsi:type="dcterms:W3CDTF">2017-02-02T20:59:00Z</dcterms:created>
  <dcterms:modified xsi:type="dcterms:W3CDTF">2017-02-07T00:35:00Z</dcterms:modified>
</cp:coreProperties>
</file>